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61346875" w14:textId="1BB05A06" w:rsidR="007A743C" w:rsidRPr="006E6477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6E6477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6FC8759C" w:rsidR="00FD0A57" w:rsidRPr="006E6477" w:rsidRDefault="00CF5A8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CF5A8F">
        <w:rPr>
          <w:rFonts w:ascii="Calibri" w:eastAsia="Calibri" w:hAnsi="Calibri" w:cs="Calibri"/>
          <w:b/>
          <w:bCs/>
        </w:rPr>
        <w:t>Elektrický konvektomat pro Chrudimskou nemocnici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5A8F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2021-07-14T06:59:00Z</dcterms:modified>
</cp:coreProperties>
</file>